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Завтра буде світ такий, як завше...</w:t>
      </w:r>
    </w:p>
    <w:p>
      <w:r>
        <w:br/>
        <w:t xml:space="preserve"> Завтра буде світ такий, як завше, —&lt;br /&gt;</w:t>
        <w:br/>
        <w:t>Білий, жовтий, трохи вороний.&lt;br /&gt;</w:t>
        <w:br/>
        <w:t>І зависне небо, наче зашморг,&lt;br /&gt;</w:t>
        <w:br/>
        <w:t>Як і має бути восени.</w:t>
      </w:r>
    </w:p>
    <w:p>
      <w:r>
        <w:br/>
        <w:t>Сон, мов смерть, настигне на світанку,&lt;br /&gt;</w:t>
        <w:br/>
        <w:t>І незваний день в останню мить&lt;br /&gt;</w:t>
        <w:br/>
        <w:t>Забере тебе, як полонянку,&lt;br /&gt;</w:t>
        <w:br/>
        <w:t>Як у пісні — конями умчить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Завтра буде світ такий, як завше...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