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Запросини до мандрів</w:t>
      </w:r>
    </w:p>
    <w:p>
      <w:r>
        <w:br/>
        <w:t xml:space="preserve"> Прошелестів під ногами пил,&lt;br /&gt;</w:t>
        <w:br/>
        <w:t>у колію наїжджену ліг.&lt;br /&gt;</w:t>
        <w:br/>
        <w:t>Смага палить губи.&lt;br /&gt;</w:t>
        <w:br/>
        <w:t>Напийсь&lt;br /&gt;</w:t>
        <w:br/>
        <w:t>і відпочинь від доріг.</w:t>
      </w:r>
    </w:p>
    <w:p>
      <w:r>
        <w:br/>
        <w:t>А завтра,&lt;br /&gt;</w:t>
        <w:br/>
        <w:t>як благословиться на світ,&lt;br /&gt;</w:t>
        <w:br/>
        <w:t>як сторона підійме червоний шовк,&lt;br /&gt;</w:t>
        <w:br/>
        <w:t>по голубій холодній траві&lt;br /&gt;</w:t>
        <w:br/>
        <w:t>за синьою птицею ходімо знов!&lt;br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Запросини до мандрів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