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Захід сонця</w:t>
      </w:r>
    </w:p>
    <w:p>
      <w:r>
        <w:br/>
        <w:t xml:space="preserve"> Де ти? Смеркає п'яно душа мені,&lt;br /&gt;</w:t>
        <w:br/>
        <w:t>Твоїм блаженством щертна; бо щойно я&lt;br /&gt;</w:t>
        <w:br/>
        <w:t>Вслухався, як злотистих звуків&lt;br /&gt;</w:t>
        <w:br/>
        <w:t>Повний, юнак чарівливий, сонце,</w:t>
      </w:r>
    </w:p>
    <w:p>
      <w:r>
        <w:br/>
        <w:t>Вечірній спів на лірі небесній грав;&lt;br /&gt;</w:t>
        <w:br/>
        <w:t>Ліси й горби бриніли ще лунами,&lt;br /&gt;</w:t>
        <w:br/>
        <w:t>Але пішов він до народів,&lt;br /&gt;</w:t>
        <w:br/>
        <w:t>Що почитають його, побожні.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Захід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