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Ізраїльського</w:t>
      </w:r>
    </w:p>
    <w:p>
      <w:r>
        <w:br/>
        <w:t xml:space="preserve"> За роки питаєш? Мій друже, мовчи:&lt;br /&gt;</w:t>
        <w:br/>
        <w:t>не знаю, не знаю, я літ не лічив ...&lt;br /&gt;</w:t>
        <w:br/>
        <w:t>Я літ не лічив, та й навіщо той лік?&lt;br /&gt;</w:t>
        <w:br/>
        <w:t>Як мука — життя, то безмежний мій вік&lt;br /&gt;</w:t>
        <w:br/>
        <w:t>і дуже, мій друже, похилих я літ. . .&lt;br /&gt;</w:t>
        <w:br/>
        <w:t>Коли ж воно — щастя і розовий цвіт,&lt;br /&gt;</w:t>
        <w:br/>
        <w:t>а голос його — розхвильований дзвін,&lt;br /&gt;</w:t>
        <w:br/>
        <w:t>то жити мене ще не викликав він,&lt;br /&gt;</w:t>
        <w:br/>
        <w:t>і я не вродився ще й геть то на світ!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Ізраїльського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