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Встала хмарка пилу...</w:t>
      </w:r>
    </w:p>
    <w:p>
      <w:r>
        <w:br/>
        <w:t xml:space="preserve"> Встала хмарка пилу&lt;br /&gt;</w:t>
        <w:br/>
        <w:t>Там, де небосхил...&lt;br /&gt;</w:t>
        <w:br/>
        <w:t>Кінний то чи піший —&lt;br /&gt;</w:t>
        <w:br/>
        <w:t>Закриває пил...&lt;br /&gt;</w:t>
        <w:br/>
        <w:t>Бачу, вершник лине&lt;br /&gt;</w:t>
        <w:br/>
        <w:t>На баскім коні...&lt;br /&gt;</w:t>
        <w:br/>
        <w:t>Друже мій далекий,&lt;br /&gt;</w:t>
        <w:br/>
        <w:t>Вість подай мені!</w:t>
      </w:r>
    </w:p>
    <w:p>
      <w:r>
        <w:br/>
        <w:t>Перекладач: М. Рильський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Встала хмарка пилу...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