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Всі враз! — Як розрив гранати...</w:t>
      </w:r>
    </w:p>
    <w:p>
      <w:r>
        <w:br/>
        <w:t xml:space="preserve"> "Всі враз!" — Як розрив гранати,&lt;br /&gt;</w:t>
        <w:br/>
        <w:t>Як гострий короткий стріл&lt;br /&gt;</w:t>
        <w:br/>
        <w:t>Мов меч, що руба навпіл,&lt;br /&gt;</w:t>
        <w:br/>
        <w:t>Десь тяжко брязнув об ґрати.</w:t>
      </w:r>
    </w:p>
    <w:p>
      <w:r>
        <w:br/>
        <w:t>Всі враз, всі сорок соколіх,&lt;br /&gt;</w:t>
        <w:br/>
        <w:t>Всі сорок мільйонов серць —&lt;br /&gt;</w:t>
        <w:br/>
        <w:t>І, втіхши, побачать герць&lt;br /&gt;</w:t>
        <w:br/>
        <w:t>Прапори ворога долі.</w:t>
      </w:r>
    </w:p>
    <w:p>
      <w:r>
        <w:br/>
        <w:t>1935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Всі враз! — Як розрив гранати...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