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"Все лице морщиш, журний завсігди ти..."</w:t>
      </w:r>
    </w:p>
    <w:p>
      <w:r>
        <w:br/>
        <w:t xml:space="preserve"> Все лице морщиш, журний завсігди ти,&lt;br /&gt;</w:t>
        <w:br/>
        <w:t>Чи можна ще тут про життя говорити?&lt;br /&gt;</w:t>
        <w:br/>
        <w:t>Живе лиш по правді веселий з виду,&lt;br /&gt;</w:t>
        <w:br/>
        <w:t>Хто має світло, а темряви — й сліду.&lt;br /&gt;</w:t>
        <w:br/>
        <w:t>Того ж, хто сумує, без просвітку тужить,&lt;br /&gt;</w:t>
        <w:br/>
        <w:t>Постійна зла смерть приповільнено душить.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"Все лице морщиш, журний завсігди ти..."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