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— ріка, і це не перемелеться...</w:t>
      </w:r>
    </w:p>
    <w:p>
      <w:r>
        <w:br/>
        <w:t xml:space="preserve"> &lt;blockquote&gt;Олегові Солов’ю&lt;/blockquote&gt;</w:t>
      </w:r>
    </w:p>
    <w:p>
      <w:r>
        <w:br/>
        <w:t>вона – ріка, і це не перемелеться,&lt;br /&gt;</w:t>
        <w:br/>
        <w:t>не перетреться, що вона – ріка:&lt;br /&gt;</w:t>
        <w:br/>
        <w:t>під білі руці горнеться і стелиться,&lt;br /&gt;</w:t>
        <w:br/>
        <w:t>і над овиддям горнім не зника,</w:t>
      </w:r>
    </w:p>
    <w:p>
      <w:r>
        <w:br/>
        <w:t>над глинищем тривкої меланхолії,&lt;br /&gt;</w:t>
        <w:br/>
        <w:t>над тугою, що млосна і туга, –&lt;br /&gt;</w:t>
        <w:br/>
        <w:t>над берегом, що твориво спотворює&lt;br /&gt;</w:t>
        <w:br/>
        <w:t>і твориво ж таки оберіга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— ріка, і це не перемелеться...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