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Виноград</w:t>
      </w:r>
    </w:p>
    <w:p>
      <w:r>
        <w:br/>
        <w:t xml:space="preserve"> Не буду я тужить по розах,&lt;br /&gt;</w:t>
        <w:br/>
        <w:t>Зів'ялих ранньої пори;&lt;br /&gt;</w:t>
        <w:br/>
        <w:t>До серця й виноград на лозах,&lt;br /&gt;</w:t>
        <w:br/>
        <w:t>Що в гронах визрів край гори,&lt;br /&gt;</w:t>
        <w:br/>
        <w:t>Краса долин, що тішить зори&lt;br /&gt;</w:t>
        <w:br/>
        <w:t>Під осінь, повну ясноти,&lt;br /&gt;</w:t>
        <w:br/>
        <w:t>Продовгуватий і прозорий,&lt;br /&gt;</w:t>
        <w:br/>
        <w:t>Як діви юної персти.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Виноград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