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Весілля</w:t>
      </w:r>
    </w:p>
    <w:p>
      <w:r>
        <w:br/>
        <w:t xml:space="preserve"> Почалось так: упився я&lt;br /&gt;</w:t>
        <w:br/>
        <w:t>від перших власних строф похмілля.&lt;br /&gt;</w:t>
        <w:br/>
        <w:t>Був тільки місяць дружбою&lt;br /&gt;</w:t>
        <w:br/>
        <w:t>на мому з піснею весіллі.&lt;br /&gt;</w:t>
        <w:br/>
        <w:t>Як сталось те, як задзвеніло,&lt;br /&gt;</w:t>
        <w:br/>
        <w:t>сказать не вмів оцього вам би,&lt;br /&gt;</w:t>
        <w:br/>
        <w:t>коли б так серце не горіло.&lt;br /&gt;</w:t>
        <w:br/>
        <w:t>Так народились перші ямби.&lt;br /&gt;</w:t>
        <w:br/>
        <w:t>Слова, не тесані в гамарні,[55]&lt;br /&gt;</w:t>
        <w:br/>
        <w:t>слова, осріблені в вогні.&lt;br /&gt;</w:t>
        <w:br/>
        <w:t>Складають радісні пісні&lt;br /&gt;</w:t>
        <w:br/>
        <w:t>в весни заквітчаній друкарні.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