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Вечір. Тиша. Вербна тонь...</w:t>
      </w:r>
    </w:p>
    <w:p>
      <w:r>
        <w:br/>
        <w:t xml:space="preserve"> Вечір. Тиша. Вербна тонь.&lt;br /&gt;</w:t>
        <w:br/>
        <w:t>Хмари низько, низько – сонні.&lt;br /&gt;</w:t>
        <w:br/>
        <w:t>Обрій млосно темний дикуном ось, ось,&lt;br /&gt;</w:t>
        <w:br/>
        <w:t>звихриться сполохом…&lt;br /&gt;</w:t>
        <w:br/>
        <w:t>Ось, ось ударить на голову берез…&lt;br /&gt;</w:t>
        <w:br/>
        <w:t>Порве крайчасті рядна, до сучків порве…&lt;br /&gt;</w:t>
        <w:br/>
        <w:t>Стане плакать п’яний, знервований пияка:&lt;br /&gt;</w:t>
        <w:br/>
        <w:t>"Яка пропаща далеч. Мряка".&lt;br /&gt;</w:t>
        <w:br/>
        <w:t>Стане город в шумі гнати вперед – дзвін.&lt;br /&gt;</w:t>
        <w:br/>
        <w:t>І знов тиша… Вечір… Ніч…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Вечір. Тиша. Вербна тонь...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