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тюрмі</w:t>
      </w:r>
    </w:p>
    <w:p>
      <w:r>
        <w:br/>
        <w:t xml:space="preserve"> Я оце так гірко на душі почувся,&lt;br /&gt;</w:t>
        <w:br/>
        <w:t>Так важким занадто ізробився гніт,-&lt;br /&gt;</w:t>
        <w:br/>
        <w:t>Від надій гарячих мовби одхитнувся,&lt;br /&gt;</w:t>
        <w:br/>
        <w:t>Від надій на вільний, на широкий світ.</w:t>
      </w:r>
    </w:p>
    <w:p>
      <w:r>
        <w:br/>
        <w:t>День — не день, а тяжкий прокид серед ночі.&lt;br /&gt;</w:t>
        <w:br/>
        <w:t>Жизнь — труна за віку, темна та німа;&lt;br /&gt;</w:t>
        <w:br/>
        <w:t>І здається часом, ніби смертю в очі&lt;br /&gt;</w:t>
        <w:br/>
        <w:t>Зазирає хмура, заклята тюрма!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тюрмі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