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Угорщина</w:t>
      </w:r>
    </w:p>
    <w:p>
      <w:r>
        <w:br/>
        <w:t xml:space="preserve"> Навчитись того куховарства,&lt;br /&gt;</w:t>
        <w:br/>
        <w:t>Вітчизно, тобі уже слід:&lt;br /&gt;</w:t>
        <w:br/>
        <w:t>На одному боці готовий,&lt;br /&gt;</w:t>
        <w:br/>
        <w:t>На другім — сирий твій обід.</w:t>
      </w:r>
    </w:p>
    <w:p>
      <w:r>
        <w:br/>
        <w:t>В той час, як на одному боці&lt;br /&gt;</w:t>
        <w:br/>
        <w:t>Пиячать, жирують, жеруть,&lt;br /&gt;</w:t>
        <w:br/>
        <w:t>На другому боці, вітчизно,&lt;br /&gt;</w:t>
        <w:br/>
        <w:t>Сини твої з голоду мруть.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Угорщина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