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Удвох би йти — не одинцем...</w:t>
      </w:r>
    </w:p>
    <w:p>
      <w:r>
        <w:br/>
        <w:t xml:space="preserve"> Удвох би йти — не одинцем,&lt;br /&gt;</w:t>
        <w:br/>
        <w:t>Рука в руці у ранній присмерк,&lt;br /&gt;</w:t>
        <w:br/>
        <w:t>Із опроміненим лицем&lt;br /&gt;</w:t>
        <w:br/>
        <w:t>І на устах цілунків присмак.</w:t>
      </w:r>
    </w:p>
    <w:p>
      <w:r>
        <w:br/>
        <w:t>Та доля нарекла іти&lt;br /&gt;</w:t>
        <w:br/>
        <w:t>Самому без сльози на оці.&lt;br /&gt;</w:t>
        <w:br/>
        <w:t>Потойбіч — смуток самоти&lt;br /&gt;</w:t>
        <w:br/>
        <w:t>Й не веселіше по цім боці…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Удвох би йти — не одинцем...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