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Учений</w:t>
      </w:r>
    </w:p>
    <w:p>
      <w:r>
        <w:br/>
        <w:t xml:space="preserve"> Перо страшніше від обойми пістолета,&lt;br /&gt;</w:t>
        <w:br/>
        <w:t>Коли потрапить до залізної руки.&lt;br /&gt;</w:t>
        <w:br/>
        <w:t>І Енгельс у глибокій тиші кабінету&lt;br /&gt;</w:t>
        <w:br/>
        <w:t>Розгоном сторінок поколихнув віки.</w:t>
      </w:r>
    </w:p>
    <w:p>
      <w:r>
        <w:br/>
        <w:t>Хіба не так углиб росте коріння дуба?&lt;br /&gt;</w:t>
        <w:br/>
        <w:t>Воно у пітьму надр несе такий нестрим,&lt;br /&gt;</w:t>
        <w:br/>
        <w:t>Аж поки поміж скель не розігнеться грубо&lt;br /&gt;</w:t>
        <w:br/>
        <w:t>І не розколе їх&lt;br /&gt;</w:t>
        <w:br/>
        <w:t>навалом віковим,</w:t>
      </w:r>
    </w:p>
    <w:p>
      <w:r>
        <w:br/>
        <w:t>1920, Одеса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