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Їжаків полягали спати</w:t>
      </w:r>
    </w:p>
    <w:p>
      <w:r>
        <w:br/>
        <w:t xml:space="preserve"> Несу Їжачкові&lt;br /&gt;</w:t>
        <w:br/>
        <w:t>горнятко теплого молочка.&lt;br /&gt;</w:t>
        <w:br/>
        <w:t>Моросить дощик,&lt;br /&gt;</w:t>
        <w:br/>
        <w:t>а я несу.&lt;br /&gt;</w:t>
        <w:br/>
        <w:t>— У них уже не світиться,&lt;br /&gt;</w:t>
        <w:br/>
        <w:t>полягали спати, —&lt;br /&gt;</w:t>
        <w:br/>
        <w:t>каже старий кіт Мурко.&lt;br /&gt;</w:t>
        <w:br/>
        <w:t>Та й позіхає —&lt;br /&gt;</w:t>
        <w:br/>
        <w:t>на мене й на дощик.&lt;br /&gt;</w:t>
        <w:br/>
        <w:t>А на тепле молочко каже:&lt;br /&gt;</w:t>
        <w:br/>
        <w:t>— Ня-ав!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Їжаків полягали спати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