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Твій голос — то слізна без слів...</w:t>
      </w:r>
    </w:p>
    <w:p>
      <w:r>
        <w:br/>
        <w:t xml:space="preserve"> * * *</w:t>
      </w:r>
    </w:p>
    <w:p>
      <w:r>
        <w:br/>
        <w:t>Твій голос — то слізна без слів&lt;br /&gt;</w:t>
        <w:br/>
        <w:t>Молитва білих квітів,&lt;br /&gt;</w:t>
        <w:br/>
        <w:t>То тихий мелодійний спів&lt;br /&gt;</w:t>
        <w:br/>
        <w:t>Із зазірних засвітів…</w:t>
      </w:r>
    </w:p>
    <w:p>
      <w:r>
        <w:br/>
        <w:t>Твій голос — то страшний проклін,—&lt;br /&gt;</w:t>
        <w:br/>
        <w:t>Аж серце каменіє…&lt;br /&gt;</w:t>
        <w:br/>
        <w:t>Твій голос — то надгробний спів&lt;br /&gt;</w:t>
        <w:br/>
        <w:t>Над труною надії…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Твій голос — то слізна без слів...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