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Цапок</w:t>
      </w:r>
    </w:p>
    <w:p>
      <w:r>
        <w:br/>
        <w:t xml:space="preserve"> Взимку лагодив цапок&lt;br /&gt;</w:t>
        <w:br/>
        <w:t>Віз, і борону, й плужок.&lt;br /&gt;</w:t>
        <w:br/>
        <w:t>В квітні виорав цапок&lt;br /&gt;</w:t>
        <w:br/>
        <w:t>Огородець і ланок.&lt;br /&gt;</w:t>
        <w:br/>
        <w:t>Та й засіяв лан цапок&lt;br /&gt;</w:t>
        <w:br/>
        <w:t>Для цапихи і діток.&lt;br /&gt;</w:t>
        <w:br/>
        <w:t>А цапиха і дітки&lt;br /&gt;</w:t>
        <w:br/>
        <w:t>Садять цапу огірки.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Цапок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