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не бійся, милочко</w:t>
      </w:r>
    </w:p>
    <w:p>
      <w:r>
        <w:br/>
        <w:t xml:space="preserve"> У малої Милочки&lt;br /&gt;</w:t>
        <w:br/>
        <w:t>Є нові санчата,&lt;br /&gt;</w:t>
        <w:br/>
        <w:t>Та боїться Милочка&lt;br /&gt;</w:t>
        <w:br/>
        <w:t>З гірочки з'їжджати.&lt;br /&gt;</w:t>
        <w:br/>
        <w:t>І стоїть несміливо&lt;br /&gt;</w:t>
        <w:br/>
        <w:t>З ними на льоду&lt;br /&gt;</w:t>
        <w:br/>
        <w:t>Каже: — Не зумію...—&lt;br /&gt;</w:t>
        <w:br/>
        <w:t>Каже: — Уп-паду...&lt;br /&gt;</w:t>
        <w:br/>
        <w:t>Ти не бійся, Милочко:&lt;br /&gt;</w:t>
        <w:br/>
        <w:t>Не страшні вони...&lt;br /&gt;</w:t>
        <w:br/>
        <w:t>Ти зумієш, Милочко,—&lt;br /&gt;</w:t>
        <w:br/>
        <w:t>Тільки розпочни!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не бійся, милочко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