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Тепер</w:t>
      </w:r>
    </w:p>
    <w:p>
      <w:r>
        <w:br/>
        <w:t xml:space="preserve"> Не тоді нам у полі до бою ставать,&lt;br /&gt;</w:t>
        <w:br/>
        <w:t>Як вже сонце і сяє, і гріє,&lt;br /&gt;</w:t>
        <w:br/>
        <w:t>І як співи пташині в повітрі летять,&lt;br /&gt;</w:t>
        <w:br/>
        <w:t>Усміхаються дні золотії!</w:t>
      </w:r>
    </w:p>
    <w:p>
      <w:r>
        <w:br/>
        <w:t>Не тоді! Не тоді! Як лютують вітри&lt;br /&gt;</w:t>
        <w:br/>
        <w:t>І скрізь ніч, всюди хмари похмурі,—&lt;br /&gt;</w:t>
        <w:br/>
        <w:t>Ти тоді уставай, свою зброю бери&lt;br /&gt;</w:t>
        <w:br/>
        <w:t>І борись серед темряви й бурі!..</w:t>
      </w:r>
    </w:p>
    <w:p>
      <w:r>
        <w:br/>
        <w:t>1885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Тепер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