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Тануть, в'януть сніги…</w:t>
      </w:r>
    </w:p>
    <w:p>
      <w:r>
        <w:br/>
        <w:t xml:space="preserve"> Тануть,&lt;br /&gt;</w:t>
        <w:br/>
        <w:t>в'януть&lt;br /&gt;</w:t>
        <w:br/>
        <w:t>сніги,—&lt;br /&gt;</w:t>
        <w:br/>
        <w:t>як крізь хмари летючі&lt;br /&gt;</w:t>
        <w:br/>
        <w:t>гляне сонце блискуче,&lt;br /&gt;</w:t>
        <w:br/>
        <w:t>усміхнеться в привіті,&lt;br /&gt;</w:t>
        <w:br/>
        <w:t>розіллється в блакиті.&lt;br /&gt;</w:t>
        <w:br/>
        <w:t>Тане сніг,&lt;br /&gt;</w:t>
        <w:br/>
        <w:t>в'яне сніг,&lt;br /&gt;</w:t>
        <w:br/>
        <w:t>гине...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Тануть, в'януть сніги…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