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Танець</w:t>
      </w:r>
    </w:p>
    <w:p>
      <w:r>
        <w:br/>
        <w:t xml:space="preserve"> Ой кобзи рясно грали,&lt;br /&gt;</w:t>
        <w:br/>
        <w:t>Лунав веселий сміх,&lt;br /&gt;</w:t>
        <w:br/>
        <w:t>Мов звізди, очі сяли,&lt;br /&gt;</w:t>
        <w:br/>
        <w:t>Сріблистий танець біг,&lt;br /&gt;</w:t>
        <w:br/>
        <w:t>Сріблистий танець біг,&lt;br /&gt;</w:t>
        <w:br/>
        <w:t>А кобзи перестали&lt;br /&gt;</w:t>
        <w:br/>
        <w:t>Замовк веселий сміх,&lt;br /&gt;</w:t>
        <w:br/>
        <w:t>Кінкети погасали,&lt;br /&gt;</w:t>
        <w:br/>
        <w:t>Кутами царив гріх —&lt;br /&gt;</w:t>
        <w:br/>
        <w:t>Кутами царив —&lt;br /&gt;</w:t>
        <w:br/>
        <w:t>Сміх!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