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Світова річ</w:t>
      </w:r>
    </w:p>
    <w:p>
      <w:r>
        <w:br/>
        <w:t xml:space="preserve"> Hat man Viel, so wird man bald.*</w:t>
      </w:r>
    </w:p>
    <w:p>
      <w:r>
        <w:br/>
        <w:t>Хто багато має, той&lt;br /&gt;</w:t>
        <w:br/>
        <w:t>Ще собі здобуде,&lt;br /&gt;</w:t>
        <w:br/>
        <w:t>А хто мало, то тому&lt;br /&gt;</w:t>
        <w:br/>
        <w:t>Мало і прибуде.</w:t>
      </w:r>
    </w:p>
    <w:p>
      <w:r>
        <w:br/>
        <w:t>В тебе дасть Біг — хай тебе&lt;br /&gt;</w:t>
        <w:br/>
        <w:t>Знищить, хто здолає,&lt;br /&gt;</w:t>
        <w:br/>
        <w:t>Бо той має право жить,&lt;br /&gt;</w:t>
        <w:br/>
        <w:t>Хто що-небудь має.</w:t>
      </w:r>
    </w:p>
    <w:p>
      <w:r>
        <w:br/>
        <w:t>Відень, 1895р.</w:t>
      </w:r>
    </w:p>
    <w:p>
      <w:r>
        <w:br/>
        <w:t>-----------------------------</w:t>
      </w:r>
    </w:p>
    <w:p>
      <w:r>
        <w:br/>
        <w:t>* Зміст епіграфів до віршів Г. Гайне відповідає першим рядкам&lt;br /&gt;</w:t>
        <w:br/>
        <w:t>поезій.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Світова 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