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Сурмлять блакитні гусари</w:t>
      </w:r>
    </w:p>
    <w:p>
      <w:r>
        <w:br/>
        <w:t xml:space="preserve"> Сурмлять блакитні гусари&lt;br /&gt;</w:t>
        <w:br/>
        <w:t>І геть виїжджають з воріт.&lt;br /&gt;</w:t>
        <w:br/>
        <w:t>Кохана, я знову для тебе&lt;br /&gt;</w:t>
        <w:br/>
        <w:t>Приношу троянди цвіт.</w:t>
      </w:r>
    </w:p>
    <w:p>
      <w:r>
        <w:br/>
        <w:t>Чудові були в нас гості,-&lt;br /&gt;</w:t>
        <w:br/>
        <w:t>Військового щастя сини!&lt;br /&gt;</w:t>
        <w:br/>
        <w:t>Здається, і в серці твоєму&lt;br /&gt;</w:t>
        <w:br/>
        <w:t>Були на постої вони.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Сурмлять блакитні гусари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