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Струмочок співає</w:t>
      </w:r>
    </w:p>
    <w:p>
      <w:r>
        <w:br/>
        <w:t xml:space="preserve"> Мов білі морквинки ясні,&lt;br /&gt;</w:t>
        <w:br/>
        <w:t>Бурульки висять весняні.&lt;br /&gt;</w:t>
        <w:br/>
        <w:t>З-під снігу земля вигляда.&lt;br /&gt;</w:t>
        <w:br/>
        <w:t>І капає тала вода:&lt;br /&gt;</w:t>
        <w:br/>
        <w:t>Кап-кап!&lt;br /&gt;</w:t>
        <w:br/>
        <w:t>Кап-кап!</w:t>
      </w:r>
    </w:p>
    <w:p>
      <w:r>
        <w:br/>
        <w:t>Вітерець-летунець прилетів,&lt;br /&gt;</w:t>
        <w:br/>
        <w:t>Він вісті приніс із полів,—&lt;br /&gt;</w:t>
        <w:br/>
        <w:t>Що буде травичка рости,&lt;br /&gt;</w:t>
        <w:br/>
        <w:t>Що проліски стали цвісти&lt;br /&gt;</w:t>
        <w:br/>
        <w:t>В ліску,&lt;br /&gt;</w:t>
        <w:br/>
        <w:t>В ліску.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Струмочок співає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