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дуб</w:t>
      </w:r>
    </w:p>
    <w:p>
      <w:r>
        <w:br/>
        <w:t xml:space="preserve"> &lt;p&gt;Не тільки на Десні повінь, а й у лісі. То ряст попід деревами розцвів, куди не глянь — рожево-сині, бузкові хвилі перекочуються.</w:t>
      </w:r>
    </w:p>
    <w:p>
      <w:r>
        <w:br/>
        <w:t>Тарасик з Тетянкою ніби не йдуть стежиною, а пливуть серед лісової повені, навкруги роздивляються.</w:t>
      </w:r>
    </w:p>
    <w:p>
      <w:r>
        <w:br/>
        <w:t>Дерева у весняну вдяганку прибралися, й такі гарні всі: й берези, і клени, й липи. А сосни — ті завжди в однаковому вбранні — навесні, й улітку, і взимку, коли мороз тріщить і завірюха свище.</w:t>
      </w:r>
    </w:p>
    <w:p>
      <w:r>
        <w:br/>
        <w:t>— Тарасику, а що це з дубом? — зупинилась Тетянка.— Чи не всох?</w:t>
      </w:r>
    </w:p>
    <w:p>
      <w:r>
        <w:br/>
        <w:t>Усе довкола зелене — і дерева, й галявина. А дуб — у рудому вбранні, шелестить пожухлим торішнім листям.</w:t>
      </w:r>
    </w:p>
    <w:p>
      <w:r>
        <w:br/>
        <w:t>— Старий уже дуб,— каже Тарасик,— Мабуть, йому ще холодно. Як і дідові Матвію. Бачила — він і зараз у кожусі ходить. Тож і дуб поки що не скидає свого кожуха. А як сонечко дужче пригріє, тоді дуб збадьориться, у зелені шати вбереться.</w:t>
      </w:r>
    </w:p>
    <w:p>
      <w:r>
        <w:br/>
        <w:t>— І ми знову прийдемо до нього по жолуді?</w:t>
      </w:r>
    </w:p>
    <w:p>
      <w:r>
        <w:br/>
        <w:t>— Авжеж.</w:t>
      </w:r>
    </w:p>
    <w:p>
      <w:r>
        <w:br/>
        <w:t>— Цілу торбинку назбираємо! Як торік! — повеселіла Тетянка.— І віднесемо в лісництво.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дуб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