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Спогадання</w:t>
      </w:r>
    </w:p>
    <w:p>
      <w:r>
        <w:br/>
        <w:t xml:space="preserve"> Згадав я вас — і якось тихо&lt;br /&gt;</w:t>
        <w:br/>
        <w:t>На серці хорому стає,&lt;br /&gt;</w:t>
        <w:br/>
        <w:t>Потроху легша давне лихо&lt;br /&gt;</w:t>
        <w:br/>
        <w:t>Чи тільки злегшання вдає.&lt;br /&gt;</w:t>
        <w:br/>
        <w:t>Згадав — і наче ангел мира&lt;br /&gt;</w:t>
        <w:br/>
        <w:t>Душі побитої торкнувсь,&lt;br /&gt;</w:t>
        <w:br/>
        <w:t>Утішний звук зриває ліра,&lt;br /&gt;</w:t>
        <w:br/>
        <w:t>Покій загублений вернувсь.&lt;br /&gt;</w:t>
        <w:br/>
        <w:t>Всі наші стрічі так короткі,&lt;br /&gt;</w:t>
        <w:br/>
        <w:t>Так несподівані були...&lt;br /&gt;</w:t>
        <w:br/>
        <w:t>Та ваші риси — милі, кроткі —&lt;br /&gt;</w:t>
        <w:br/>
        <w:t>Довіку в пам’ять залягли!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Спогадання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