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 і троянда</w:t>
      </w:r>
    </w:p>
    <w:p>
      <w:r>
        <w:br/>
        <w:t xml:space="preserve"> В безмовності садів, у вогкій млі ночей,&lt;br /&gt;</w:t>
        <w:br/>
        <w:t>Співає навесні троянді соловей.&lt;br /&gt;</w:t>
        <w:br/>
        <w:t>Троянді й байдуже, вона й не помічає,&lt;br /&gt;</w:t>
        <w:br/>
        <w:t>І під кохання гімн колишеться й дрімає.&lt;br /&gt;</w:t>
        <w:br/>
        <w:t>І ти співаєш так на славу красоти:&lt;br /&gt;</w:t>
        <w:br/>
        <w:t>Отямся, друже мій, до чого прагнеш ти?&lt;br /&gt;</w:t>
        <w:br/>
        <w:t>Її поетова не потривожить мука;&lt;br /&gt;</w:t>
        <w:br/>
        <w:t>Подивишся — цвіте; покличеш — ані звука.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 і 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