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Сивина вкриває скроні, голова моя сріблиться...</w:t>
      </w:r>
    </w:p>
    <w:p>
      <w:r>
        <w:br/>
        <w:t xml:space="preserve"> Сивина вкриває скроні, голова моя сріблиться,&lt;br /&gt;</w:t>
        <w:br/>
        <w:t>Молоді літа відрадні проминули; зуби слабнуть.&lt;br /&gt;</w:t>
        <w:br/>
        <w:t>Відліта життя солодке — небагато вже лишилось.&lt;br /&gt;</w:t>
        <w:br/>
        <w:t>Зупинить ридань не можу, бо мене лякає Тартар,&lt;br /&gt;</w:t>
        <w:br/>
        <w:t>Бо страшить Аїда темне підземелля; важко в нього&lt;br /&gt;</w:t>
        <w:br/>
        <w:t>Увійти; коли ж увійдем — повороту нам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Сивина вкриває скроні, голова моя сріблиться...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