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Щодня в подвір'я наше заліта...</w:t>
      </w:r>
    </w:p>
    <w:p>
      <w:r>
        <w:br/>
        <w:t xml:space="preserve"> Щодня в подвір'я наше заліта&lt;br /&gt;</w:t>
        <w:br/>
        <w:t>Упертий дятел. Сяде на колоді —&lt;br /&gt;</w:t>
        <w:br/>
        <w:t>І стук та й стук, що й переслухать года.&lt;br /&gt;</w:t>
        <w:br/>
        <w:t>Мурко вже закрадався до хвоста&lt;br /&gt;</w:t>
        <w:br/>
        <w:t>І сяк і так, неначе справжній злодій,—&lt;br /&gt;</w:t>
        <w:br/>
        <w:t>Та де там! Раз — і знявся, й полетів,&lt;br /&gt;</w:t>
        <w:br/>
        <w:t>Ниряючи над снігом синюватим...&lt;br /&gt;</w:t>
        <w:br/>
        <w:t>Ех, Мурку, Мурку! Ще б чого схотів!&lt;br /&gt;</w:t>
        <w:br/>
        <w:t>Адже не кожне родиться крилатим!</w:t>
      </w:r>
    </w:p>
    <w:p>
      <w:r>
        <w:br/>
        <w:t>Вересень, 1927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Щодня в подвір'я наше заліта...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