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Що ж ти думаєш-гадаєш</w:t>
      </w:r>
    </w:p>
    <w:p>
      <w:r>
        <w:br/>
        <w:t xml:space="preserve"> Що ж ти думаєш-гадаєш,&lt;br /&gt;</w:t>
        <w:br/>
        <w:t>Чом на інших поглядаєш?&lt;br /&gt;</w:t>
        <w:br/>
        <w:t>Чи мене ти покидаєш?&lt;br /&gt;</w:t>
        <w:br/>
        <w:t>Любий, милий, повернись,&lt;br /&gt;</w:t>
        <w:br/>
        <w:t>Знов до мене пригорнись!</w:t>
      </w:r>
    </w:p>
    <w:p>
      <w:r>
        <w:br/>
        <w:t>Я ж тебе кохала вірно,&lt;br /&gt;</w:t>
        <w:br/>
        <w:t>Довірялася безмірно&lt;br /&gt;</w:t>
        <w:br/>
        <w:t>I тепер прошу покірно —&lt;br /&gt;</w:t>
        <w:br/>
        <w:t>Любий, милий, не зраджай,&lt;br /&gt;</w:t>
        <w:br/>
        <w:t>Мого серця не вражай!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Що ж ти думаєш-гадаєш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