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Розлука</w:t>
      </w:r>
    </w:p>
    <w:p>
      <w:r>
        <w:br/>
        <w:t xml:space="preserve"> Пишні квіти — білі мальви&lt;br /&gt;</w:t>
        <w:br/>
        <w:t>Облітають рясноцвітом,&lt;br /&gt;</w:t>
        <w:br/>
        <w:t>Ось розійдемося в даль ми,&lt;br /&gt;</w:t>
        <w:br/>
        <w:t>Щоб не нудить більше світом.</w:t>
      </w:r>
    </w:p>
    <w:p>
      <w:r>
        <w:br/>
        <w:t>От і мертва пустка хати,&lt;br /&gt;</w:t>
        <w:br/>
        <w:t>От і люстра скло розбите…&lt;br /&gt;</w:t>
        <w:br/>
        <w:t>О, як легко покохати,&lt;br /&gt;</w:t>
        <w:br/>
        <w:t>Та як тяжко розлюбити!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