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Рожі</w:t>
      </w:r>
    </w:p>
    <w:p>
      <w:r>
        <w:br/>
        <w:t xml:space="preserve"> &lt;p&gt;Навесні в діточому городчику раз розцвітались рожі, їх пупіночки розвивались помаленькй під благодатним впливом сонячного проміння. За два-три дні вони стануть окрасою городчика. їх пахощі розіллються далеко.</w:t>
      </w:r>
    </w:p>
    <w:p>
      <w:r>
        <w:br/>
        <w:t>Та не всі пупіночки розвинулися, не всі розцвілися. Одні з них змарніли і зниділи. Немилосердні усільниці їх понищили.</w:t>
      </w:r>
    </w:p>
    <w:p>
      <w:r>
        <w:br/>
        <w:t>Бідні вони, не правда ж, бідні?</w:t>
      </w:r>
    </w:p>
    <w:p>
      <w:r>
        <w:br/>
        <w:t>Так само марніють вранці життя свого діточки, що попадуться під вплив приміру лихих людей і наслідують нерозважно їх нечесні вчинки.</w:t>
      </w:r>
    </w:p>
    <w:p>
      <w:r>
        <w:br/>
        <w:t>Бідні тоті діти!..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