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Ріка, до якої говорить мудрець, засинає...</w:t>
      </w:r>
    </w:p>
    <w:p>
      <w:r>
        <w:br/>
        <w:t xml:space="preserve"> Ріка, до якої говорить мудрець, засинає.&lt;br /&gt;</w:t>
        <w:br/>
        <w:t>Зростається тім'ячко небу, бо то немовля.&lt;br /&gt;</w:t>
        <w:br/>
        <w:t>В найдовшій дорозі — між сном про Синай і Синаєм —&lt;br /&gt;</w:t>
        <w:br/>
        <w:t>Рятуються часом піщаним душа і земля.&lt;br /&gt;</w:t>
        <w:br/>
        <w:t>Суха повсякденність любові. Втрачаючи мову,&lt;br /&gt;</w:t>
        <w:br/>
        <w:t>Оту попередню, а в іншій вмирати росту.&lt;br /&gt;</w:t>
        <w:br/>
        <w:t>Душа — ніби чаша, наповнена знову і знову&lt;br /&gt;</w:t>
        <w:br/>
        <w:t>Піском по краплині, по істині, по наготу...</w:t>
      </w:r>
    </w:p>
    <w:p>
      <w:r>
        <w:br/>
        <w:t>Джерело:"Золота Пектораль" №3-4 2010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Ріка, до якої говорить мудрець, засинає...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