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Погоня</w:t>
      </w:r>
    </w:p>
    <w:p>
      <w:r>
        <w:br/>
        <w:t xml:space="preserve"> То вже тікає не косуля, —&lt;br /&gt;</w:t>
        <w:br/>
        <w:t>то свище між дерев&lt;br /&gt;</w:t>
        <w:br/>
        <w:t>рогатий вітер.&lt;br /&gt;</w:t>
        <w:br/>
        <w:t>А смерть слідом петляє&lt;br /&gt;</w:t>
        <w:br/>
        <w:t>на чотирьох тремтливих ніжках&lt;br /&gt;</w:t>
        <w:br/>
        <w:t>в сполоханому руні.&lt;br /&gt;</w:t>
        <w:br/>
        <w:t>Вовки відстали,&lt;br /&gt;</w:t>
        <w:br/>
        <w:t>і продовжує погоню&lt;br /&gt;</w:t>
        <w:br/>
        <w:t>із останніх сил&lt;br /&gt;</w:t>
        <w:br/>
        <w:t>дух вовковийний,&lt;br /&gt;</w:t>
        <w:br/>
        <w:t>вирвавшись із тіл.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