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Паляниця й Книш</w:t>
      </w:r>
    </w:p>
    <w:p>
      <w:r>
        <w:br/>
        <w:t xml:space="preserve"> Сиділа у печі хороша Паляниця;&lt;br /&gt;</w:t>
        <w:br/>
        <w:t>На господиню стала гомоніть:&lt;br /&gt;</w:t>
        <w:br/>
        <w:t>— А щоб їй так і сяк! І докіль тут сидіть?&lt;br /&gt;</w:t>
        <w:br/>
        <w:t>У очі вилаю, бо невелика птиця!.&lt;br /&gt;</w:t>
        <w:br/>
        <w:t>— Мовчи та диш! —&lt;br /&gt;</w:t>
        <w:br/>
        <w:t>Озвався у куточку Книш.</w:t>
      </w:r>
    </w:p>
    <w:p>
      <w:r>
        <w:br/>
        <w:t>Коли не людям байка пригодиться,-&lt;br /&gt;</w:t>
        <w:br/>
        <w:t>Не всяка стежечка без спориша,-&lt;br /&gt;</w:t>
        <w:br/>
        <w:t>То, може, знайдеться такая Паляниця,&lt;br /&gt;</w:t>
        <w:br/>
        <w:t>Що іноді послухає Книша.&lt;br /&gt;</w:t>
        <w:br/>
        <w:t>1891.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Паляниця й Книш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