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принесіть як не надію...</w:t>
      </w:r>
    </w:p>
    <w:p>
      <w:r>
        <w:br/>
        <w:t xml:space="preserve"> О принесіть як не надію,&lt;br /&gt;</w:t>
        <w:br/>
        <w:t>То крихту рідної землі:&lt;br /&gt;</w:t>
        <w:br/>
        <w:t>Я притулю до уст її&lt;br /&gt;</w:t>
        <w:br/>
        <w:t>І так застигну, так зомлію...</w:t>
      </w:r>
    </w:p>
    <w:p>
      <w:r>
        <w:br/>
        <w:t>Хоч кухоль з рідною водою!..&lt;br /&gt;</w:t>
        <w:br/>
        <w:t>Я тільки очі напою,&lt;br /&gt;</w:t>
        <w:br/>
        <w:t>До уст спрагнілих притулю,&lt;br /&gt;</w:t>
        <w:br/>
        <w:t>Торкнусь душею вогняною.</w:t>
      </w:r>
    </w:p>
    <w:p>
      <w:r>
        <w:br/>
        <w:t>12.IX.1921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принесіть як не надію...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