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Ніби я пропав у цих полях...</w:t>
      </w:r>
    </w:p>
    <w:p>
      <w:r>
        <w:br/>
        <w:t xml:space="preserve"> Ніби я пропав у цих полях…&lt;br /&gt;</w:t>
        <w:br/>
        <w:t>Що, крім них, – вітри и небесні скали?&lt;br /&gt;</w:t>
        <w:br/>
        <w:t>Хто у кому?</w:t>
      </w:r>
    </w:p>
    <w:p>
      <w:r>
        <w:br/>
        <w:t>Де попропадали?</w:t>
      </w:r>
    </w:p>
    <w:p>
      <w:r>
        <w:br/>
        <w:t>Більше – в глині? в вітрі? в небесах?</w:t>
      </w:r>
    </w:p>
    <w:p>
      <w:r>
        <w:br/>
        <w:t>На лужках, купальських бережках,&lt;br /&gt;</w:t>
        <w:br/>
        <w:t>а в снігу від хати і до хати –&lt;br /&gt;</w:t>
        <w:br/>
        <w:t>відспівати, відколядувати –&lt;br /&gt;</w:t>
        <w:br/>
        <w:t>цвітом відцвісти чи цвіллю стати&lt;br /&gt;</w:t>
        <w:br/>
        <w:t>хоч би на пісних, на колядках.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Ніби я пропав у цих полях...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