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Ні, ні! Прийдешнє — не казарма...</w:t>
      </w:r>
    </w:p>
    <w:p>
      <w:r>
        <w:br/>
        <w:t xml:space="preserve"> * * *</w:t>
      </w:r>
    </w:p>
    <w:p>
      <w:r>
        <w:br/>
        <w:t>Ні, ні! Прийдешнє — не казарма,&lt;br /&gt;</w:t>
        <w:br/>
        <w:t>Не цементовий коридор!&lt;br /&gt;</w:t>
        <w:br/>
        <w:t>Сіяє в небі нам недарма&lt;br /&gt;</w:t>
        <w:br/>
        <w:t>Золотоокий метеор.</w:t>
      </w:r>
    </w:p>
    <w:p>
      <w:r>
        <w:br/>
        <w:t>І він черкне щасливу землю,&lt;br /&gt;</w:t>
        <w:br/>
        <w:t>І світ наш буде голубим&lt;br /&gt;</w:t>
        <w:br/>
        <w:t>Од стін золоченого Кремлю&lt;br /&gt;</w:t>
        <w:br/>
        <w:t>До піль, де спить залізний Рим.</w:t>
      </w:r>
    </w:p>
    <w:p>
      <w:r>
        <w:br/>
        <w:t>1923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Ні, ні! Прийдешнє — не казарма...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