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 своїй тарілці</w:t>
      </w:r>
    </w:p>
    <w:p>
      <w:r>
        <w:br/>
        <w:t xml:space="preserve"> Прибув Сава до Києва&lt;br /&gt;</w:t>
        <w:br/>
        <w:t>З дружиною в парі.&lt;br /&gt;</w:t>
        <w:br/>
        <w:t>Продавали сало, м'ясо,&lt;br /&gt;</w:t>
        <w:br/>
        <w:t>Яйця на базарі.&lt;br /&gt;</w:t>
        <w:br/>
        <w:t>З покупцями торгувались,&lt;br /&gt;</w:t>
        <w:br/>
        <w:t>З людьми говорили.&lt;br /&gt;</w:t>
        <w:br/>
        <w:t>Потім пішли Хрещатиком&lt;br /&gt;</w:t>
        <w:br/>
        <w:t>На Дніпрові схили.&lt;br /&gt;</w:t>
        <w:br/>
        <w:t>А як звідти повертались,&lt;br /&gt;</w:t>
        <w:br/>
        <w:t>Мовив Сава жінці:&lt;br /&gt;</w:t>
        <w:br/>
        <w:t>— Давай "чтокать",&lt;br /&gt;</w:t>
        <w:br/>
        <w:t>бо невдобно,&lt;br /&gt;</w:t>
        <w:br/>
        <w:t>Що ми українці.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 своїй тарілці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