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спіши, бо в душі дозимовує вірш...</w:t>
      </w:r>
    </w:p>
    <w:p>
      <w:r>
        <w:br/>
        <w:t xml:space="preserve"> Не спіши, бо в душі дозимовує вірш.&lt;br /&gt;</w:t>
        <w:br/>
        <w:t>Завтра ще пригадаєш грузинські хмарини.&lt;br /&gt;</w:t>
        <w:br/>
        <w:t>Як в розлуці поглянеш на небо пильніш.&lt;br /&gt;</w:t>
        <w:br/>
        <w:t>Зачекай, бо в душі дозимовує вірш.&lt;br /&gt;</w:t>
        <w:br/>
        <w:t>Не спіши, не страждай наперед безневинно.&lt;br /&gt;</w:t>
        <w:br/>
        <w:t>Благодаттю тінистою серце потіш...&lt;br /&gt;</w:t>
        <w:br/>
        <w:t>Не спіши, бо в душі дозимовує вірш:&lt;br /&gt;</w:t>
        <w:br/>
        <w:t>Завтра десь пригадаєш грузинські хмарини.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спіши, бо в душі дозимовує вірш...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