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ходи у сад</w:t>
      </w:r>
    </w:p>
    <w:p>
      <w:r>
        <w:br/>
        <w:t xml:space="preserve"> Не ходи у сад сонливий&lt;br /&gt;</w:t>
        <w:br/>
        <w:t>Ти ніколи уночі:&lt;br /&gt;</w:t>
        <w:br/>
        <w:t>Там шепоче клен журливий,&lt;br /&gt;</w:t>
        <w:br/>
        <w:t>Світить місяць чарівливий,&lt;br /&gt;</w:t>
        <w:br/>
        <w:t>Тихо в небі ідучи.</w:t>
      </w:r>
    </w:p>
    <w:p>
      <w:r>
        <w:br/>
        <w:t>Не буди нічне мовчання&lt;br /&gt;</w:t>
        <w:br/>
        <w:t>Співом щастю і журбі,&lt;br /&gt;</w:t>
        <w:br/>
        <w:t>Бо той сад, його зітхання&lt;br /&gt;</w:t>
        <w:br/>
        <w:t>Про минулеє кохання&lt;br /&gt;</w:t>
        <w:br/>
        <w:t>Нагадає знов тобі.</w:t>
      </w:r>
    </w:p>
    <w:p>
      <w:r>
        <w:br/>
        <w:t>1905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ходи у сад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