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Нагота твого дому, в якому усього по парі...</w:t>
      </w:r>
    </w:p>
    <w:p>
      <w:r>
        <w:br/>
        <w:t xml:space="preserve"> Нагота твого дому, в якому усього по парі, —&lt;br /&gt;</w:t>
        <w:br/>
        <w:t>Це моя нагота, що у домі твоєму настала.&lt;br /&gt;</w:t>
        <w:br/>
        <w:t>Ми з тобою ступали (немов проступали) по хмарі.&lt;br /&gt;</w:t>
        <w:br/>
        <w:t>Хмара в небо вросла. Хмара корінь пустила.&lt;br /&gt;</w:t>
        <w:br/>
        <w:t>Розтала…&lt;br /&gt;</w:t>
        <w:br/>
        <w:t>Залишилися грона і кетяги — темні і винні.&lt;br /&gt;</w:t>
        <w:br/>
        <w:t>Ми допили вино і заснули, щоб більше не спати.&lt;br /&gt;</w:t>
        <w:br/>
        <w:t>Я благаю тебе, розкажи своїй Чорній Людині,&lt;br /&gt;</w:t>
        <w:br/>
        <w:t>Що у мене є Чорна Пресвітла Господня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Нагота твого дому, в якому усього по парі...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