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Наган... око... наган...</w:t>
      </w:r>
    </w:p>
    <w:p>
      <w:r>
        <w:br/>
        <w:t xml:space="preserve"> Наган... око... наган...&lt;br /&gt;</w:t>
        <w:br/>
        <w:t>– На! – громом орган.&lt;br /&gt;</w:t>
        <w:br/>
        <w:t>Нагла гулява в яру, калган...&lt;br /&gt;</w:t>
        <w:br/>
        <w:t>– А! – дурманами зрізала зір зима&lt;br /&gt;</w:t>
        <w:br/>
        <w:t>нам руда.&lt;br /&gt;</w:t>
        <w:br/>
        <w:t>Жада ж!&lt;br /&gt;</w:t>
        <w:br/>
        <w:t>А ген сивен сон не висне? Га?&lt;br /&gt;</w:t>
        <w:br/>
        <w:t>Наган? У дугу – наган!&lt;br /&gt;</w:t>
        <w:br/>
        <w:t>Жало і там – чи відала дівич-матіола&lt;br /&gt;</w:t>
        <w:br/>
        <w:t>ж?&lt;br /&gt;</w:t>
        <w:br/>
        <w:t>Ага ж, чи відала дівич-жага&lt;br /&gt;</w:t>
        <w:br/>
        <w:t>Нага? – Тяв ятаган!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Наган... око... наган...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