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Надвечір, як грає на заході сонячне тливо...</w:t>
      </w:r>
    </w:p>
    <w:p>
      <w:r>
        <w:br/>
        <w:t xml:space="preserve"> Надвечір, як грає на заході сонячне тливо,&lt;br /&gt;</w:t>
        <w:br/>
        <w:t>Туди пориваються очі мої сиротливо,&lt;br /&gt;</w:t>
        <w:br/>
        <w:t>Де, наче пощерблена чаша,&lt;br /&gt;</w:t>
        <w:br/>
        <w:t>Кривавим вином наливаються звільна міждашшя.&lt;br /&gt;</w:t>
        <w:br/>
        <w:t>У місті, де вмер уже гомін,&lt;br /&gt;</w:t>
        <w:br/>
        <w:t>Про мене загинув і спомин...&lt;br /&gt;</w:t>
        <w:br/>
        <w:t>З старою журбою,&lt;br /&gt;</w:t>
        <w:br/>
        <w:t>В плащі, пересяклім наскрізь пилюгою,&lt;br /&gt;</w:t>
        <w:br/>
        <w:t>Пускаюся я у непевну мандрівку,-&lt;br /&gt;</w:t>
        <w:br/>
        <w:t>Вона тепер там десь, далека, таємна домівка.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Надвечір, як грає на заході сонячне тливо...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