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Тисі</w:t>
      </w:r>
    </w:p>
    <w:p>
      <w:r>
        <w:br/>
        <w:t xml:space="preserve"> Прийшов з-над Гангу, мов з легенди,&lt;br /&gt;</w:t>
        <w:br/>
        <w:t>З південних марев дивовижних:&lt;br /&gt;</w:t>
        <w:br/>
        <w:t>У мене серце — мов дзвіночок,&lt;br /&gt;</w:t>
        <w:br/>
        <w:t>У мене сила — трепет ніжний.</w:t>
      </w:r>
    </w:p>
    <w:p>
      <w:r>
        <w:br/>
        <w:t>Колодязь, млин, шинок і вигін,&lt;br /&gt;</w:t>
        <w:br/>
        <w:t>Безглуздий гук при пиятиці,&lt;br /&gt;</w:t>
        <w:br/>
        <w:t>Обійми грубі, вбивці мрії,-&lt;br /&gt;</w:t>
        <w:br/>
        <w:t>Що я шукаю тут, на Тисі?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Тисі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