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горі під лісом — біла хатка…</w:t>
      </w:r>
    </w:p>
    <w:p>
      <w:r>
        <w:br/>
        <w:t xml:space="preserve"> На горі під лісом — біла хатка.&lt;br /&gt;</w:t>
        <w:br/>
        <w:t>Біла дівчина виходить, біла цятка.&lt;br /&gt;</w:t>
        <w:br/>
        <w:t>Над горою вдень шовкове небо.&lt;br /&gt;</w:t>
        <w:br/>
        <w:t>(Як воно, шовкова в грудях туга).</w:t>
      </w:r>
    </w:p>
    <w:p>
      <w:r>
        <w:br/>
        <w:t>І вночі під лісом хатка біла.&lt;br /&gt;</w:t>
        <w:br/>
        <w:t>(Ах навік, навік душа сп'яніла!..)&lt;br /&gt;</w:t>
        <w:br/>
        <w:t>Над горою оксамитне небо.&lt;br /&gt;</w:t>
        <w:br/>
        <w:t>(Чом так в грудях оксамитно-смутно?)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горі під лісом — біла хатка…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