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</w:t>
      </w:r>
    </w:p>
    <w:p>
      <w:r>
        <w:br/>
        <w:t xml:space="preserve"> Д. Д. Ш.</w:t>
      </w:r>
    </w:p>
    <w:p>
      <w:r>
        <w:br/>
        <w:t>В ній справді чудотворне щось горить,&lt;br /&gt;</w:t>
        <w:br/>
        <w:t>І на очах її краї граняться.&lt;br /&gt;</w:t>
        <w:br/>
        <w:t>Вона одна зі мною гомонить,&lt;br /&gt;</w:t>
        <w:br/>
        <w:t>Копи всі інші підійти бояться.&lt;br /&gt;</w:t>
        <w:br/>
        <w:t>Копи останній друг одвів свій зір,&lt;br /&gt;</w:t>
        <w:br/>
        <w:t>Вона була зі мною в тьмі могили,—&lt;br /&gt;</w:t>
        <w:br/>
        <w:t>Співала, уподібнившись грозі,&lt;br /&gt;</w:t>
        <w:br/>
        <w:t>Або немов квітки заговорили.</w:t>
      </w:r>
    </w:p>
    <w:p>
      <w:r>
        <w:br/>
        <w:t>1957—1958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