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Мизатий хлопчик, як горобчик...</w:t>
      </w:r>
    </w:p>
    <w:p>
      <w:r>
        <w:br/>
        <w:t xml:space="preserve"> Мизатий хлопчик, як горобчик,&lt;br /&gt;</w:t>
        <w:br/>
        <w:t>З таким, як сам, до річки йде.&lt;br /&gt;</w:t>
        <w:br/>
        <w:t>Іде над хлопчиками дощик,&lt;br /&gt;</w:t>
        <w:br/>
        <w:t>Іде над ними й більш ніде.&lt;br /&gt;</w:t>
        <w:br/>
        <w:t>А фіолетово, а синьо&lt;br /&gt;</w:t>
        <w:br/>
        <w:t>При хаті півники цвітуть!&lt;br /&gt;</w:t>
        <w:br/>
        <w:t>Цвіте над півниками слива,&lt;br /&gt;</w:t>
        <w:br/>
        <w:t>І абрикоса пахне тут.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Мизатий хлопчик, як горобчик...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