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всі під одним дощем</w:t>
      </w:r>
    </w:p>
    <w:p>
      <w:r>
        <w:br/>
        <w:t xml:space="preserve"> Ми всі під одним дощем —&lt;br /&gt;</w:t>
        <w:br/>
        <w:t>Хрущ, Метелик і я.&lt;br /&gt;</w:t>
        <w:br/>
        <w:t>У Хруща парасоля —&lt;br /&gt;</w:t>
        <w:br/>
        <w:t>із вишневого листка.&lt;br /&gt;</w:t>
        <w:br/>
        <w:t>У Метелика парасоля —&lt;br /&gt;</w:t>
        <w:br/>
        <w:t>із красолиної пелюстки.&lt;br /&gt;</w:t>
        <w:br/>
        <w:t>Я бігаю&lt;br /&gt;</w:t>
        <w:br/>
        <w:t>від Хрущевої парасолі&lt;br /&gt;</w:t>
        <w:br/>
        <w:t>до Метеликової&lt;br /&gt;</w:t>
        <w:br/>
        <w:t>і — росту.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всі під одним дощем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